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5A" w:rsidRPr="003F6C22" w:rsidRDefault="0099595A" w:rsidP="003F6C22">
      <w:pPr>
        <w:shd w:val="clear" w:color="auto" w:fill="FFFFFF"/>
        <w:spacing w:before="30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</w:pPr>
      <w:bookmarkStart w:id="0" w:name="_GoBack"/>
      <w:r w:rsidRPr="003F6C22"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  <w:t>Порядок направления пациентов на санаторно-курортное лечение</w:t>
      </w:r>
    </w:p>
    <w:p w:rsidR="006C48D8" w:rsidRPr="003F6C22" w:rsidRDefault="006C48D8" w:rsidP="007033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получение государственной социальной помощи в виде набора социальных услуг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государственной услуги по предоставлению при наличии медицинских показаний путевок на санаторно-курортное лечение</w:t>
      </w:r>
      <w:r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определено Федеральным законом от 17 июля </w:t>
      </w:r>
      <w:smartTag w:uri="urn:schemas-microsoft-com:office:smarttags" w:element="metricconverter">
        <w:smartTagPr>
          <w:attr w:name="ProductID" w:val="1999 г"/>
        </w:smartTagPr>
        <w:r w:rsidR="007D1E75" w:rsidRPr="003F6C22">
          <w:rPr>
            <w:rFonts w:ascii="Times New Roman" w:hAnsi="Times New Roman" w:cs="Times New Roman"/>
            <w:color w:val="000000" w:themeColor="text1"/>
            <w:sz w:val="28"/>
            <w:szCs w:val="28"/>
          </w:rPr>
          <w:t>1999 г</w:t>
        </w:r>
      </w:smartTag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178-ФЗ «О государственной социальной помощи» и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Приказом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Фонда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социального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страхования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Российской Федерации от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21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августа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2019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№ </w:t>
      </w:r>
      <w:r w:rsidR="007D1E75" w:rsidRPr="003F6C22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428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7D1E75" w:rsidRPr="003F6C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Административного регламента предоставления Фондом социального страхования Российской Федерации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обратно».</w:t>
      </w:r>
    </w:p>
    <w:p w:rsidR="0070338D" w:rsidRDefault="0099595A" w:rsidP="007033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Медицинский отбор и направление граждан на санаторно-курортное лечение осуществляет врач и врачебная комиссия.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Лечащий врач определяет медицинские показания для санаторно-курортного лечения и отсутствие противопоказаний для его осуществления, в первую очередь для применения природных климатических факторов, на основании анализа объективного состояния больного, результатов предшествующего лечения (амбулаторного, стационарного), данных лабораторных, функциональных, рентгенологических и других исследований.</w:t>
      </w:r>
    </w:p>
    <w:p w:rsidR="0070338D" w:rsidRDefault="0099595A" w:rsidP="007033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сложных и конфликтных ситуациях по представлению лечащего врача и заведующего отделением заключение о </w:t>
      </w:r>
      <w:proofErr w:type="spellStart"/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показанности</w:t>
      </w:r>
      <w:proofErr w:type="spellEnd"/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санат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орно-курортном лечении выдает врачебная комиссия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лечебно-профилактического учреждения.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Больных, которым показано санаторно-курортное лечение, но отягощенных сопутствующими заболеваниями, либо с нарушениями здоровья возрастного характера, в тех случаях, когда поездка на отдаленные курорты может вредно отразиться на общем состоянии здоровья, направляют в близ</w:t>
      </w:r>
      <w:r w:rsidR="0070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</w:t>
      </w:r>
      <w:r w:rsidR="00176173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сположенные санаторно-курортные 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учреждения.</w:t>
      </w:r>
    </w:p>
    <w:p w:rsidR="0070338D" w:rsidRDefault="0099595A" w:rsidP="007033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наличии медицинских показаний и отсутствии противопоказаний для санаторно-курортного лечения больному выдается на руки справка </w:t>
      </w:r>
      <w:r w:rsidR="003F6C22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орма № 070у</w:t>
      </w:r>
      <w:r w:rsidR="003F6C22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получения путевки. Срок действия справки для получения путевки 12 месяцев.</w:t>
      </w:r>
    </w:p>
    <w:p w:rsidR="0070338D" w:rsidRDefault="0099595A" w:rsidP="007033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Получив путевку, больной обязан не ранее чем за 2 месяца до начала срока ее действия явиться к лечащему врачу, выдавшему ему справку для получения путевки, с целью проведения необходимого дополнительного обследования. При соответствии про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филя санаторно-курортной организации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указанного в путевке, ранее данной рекомендации лечащий врач заполняет и выдает больному санаторно-курортную карту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C22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(Ф</w:t>
      </w:r>
      <w:r w:rsidR="007D1E75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орма № 072у</w:t>
      </w:r>
      <w:r w:rsidR="003F6C22"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3F6C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установленного образца, подписанную им и заведующим отделением.</w:t>
      </w:r>
      <w:r w:rsidR="007033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595A" w:rsidRDefault="0070338D" w:rsidP="007033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</w:t>
      </w:r>
      <w:r w:rsidR="003F6C22" w:rsidRPr="003F6C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бщие противопоказания</w:t>
      </w:r>
      <w:r w:rsidR="0099595A" w:rsidRPr="003F6C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, </w:t>
      </w:r>
      <w:r w:rsidR="003F6C22" w:rsidRPr="003F6C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исключающие направления больных на курорты и в местные</w:t>
      </w:r>
      <w:r w:rsidR="0099595A" w:rsidRPr="003F6C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3F6C22" w:rsidRPr="003F6C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санатории.</w:t>
      </w:r>
    </w:p>
    <w:p w:rsidR="001E2989" w:rsidRPr="001529F8" w:rsidRDefault="001E2989" w:rsidP="001529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2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Перечень медицинских показаний и противопоказаний для санаторно-курортного лечения взрослого населения определен приказом Министерства здравоохранения Российской Федерации от </w:t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27 марта 2024 г. № 143н</w:t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«Об утверждении классификации природных лечебных ресурсов, указанных в пункте 2 статьи 2</w:t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 1</w:t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Федерального закона от 23 февраля 1995 г. № 26-ФЗ «О природных лечебных ресурсах, лечебно-оздоровительных местностях и курортах», их характеристик и перечня медицинских показаний и противопоказаний для санаторно-курортного лечения и медицинской реабилитации с применением таких природных лечебных ресурсов</w:t>
      </w:r>
      <w:r w:rsidRPr="001529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1. Заболевания в острой и подострой стадии, в том числе острые инфекционные заболевания до окончания периода изоляции.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2. Заболевания, передающиеся половым путем.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3. Хронические заболевания в стадии обострения.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 xml:space="preserve">4. Воспалительные </w:t>
      </w:r>
      <w:proofErr w:type="spellStart"/>
      <w:r w:rsidRPr="001529F8">
        <w:rPr>
          <w:color w:val="000000" w:themeColor="text1"/>
          <w:sz w:val="28"/>
          <w:szCs w:val="28"/>
        </w:rPr>
        <w:t>полиартропатии</w:t>
      </w:r>
      <w:proofErr w:type="spellEnd"/>
      <w:r w:rsidRPr="001529F8">
        <w:rPr>
          <w:color w:val="000000" w:themeColor="text1"/>
          <w:sz w:val="28"/>
          <w:szCs w:val="28"/>
        </w:rPr>
        <w:t xml:space="preserve">, системные поражения соединительной ткани, </w:t>
      </w:r>
      <w:proofErr w:type="spellStart"/>
      <w:r w:rsidRPr="001529F8">
        <w:rPr>
          <w:color w:val="000000" w:themeColor="text1"/>
          <w:sz w:val="28"/>
          <w:szCs w:val="28"/>
        </w:rPr>
        <w:t>анкилозирующий</w:t>
      </w:r>
      <w:proofErr w:type="spellEnd"/>
      <w:r w:rsidRPr="001529F8">
        <w:rPr>
          <w:color w:val="000000" w:themeColor="text1"/>
          <w:sz w:val="28"/>
          <w:szCs w:val="28"/>
        </w:rPr>
        <w:t xml:space="preserve"> спондилит, другие уточненные </w:t>
      </w:r>
      <w:proofErr w:type="spellStart"/>
      <w:r w:rsidRPr="001529F8">
        <w:rPr>
          <w:color w:val="000000" w:themeColor="text1"/>
          <w:sz w:val="28"/>
          <w:szCs w:val="28"/>
        </w:rPr>
        <w:t>спондилопатии</w:t>
      </w:r>
      <w:proofErr w:type="spellEnd"/>
      <w:r w:rsidRPr="001529F8">
        <w:rPr>
          <w:color w:val="000000" w:themeColor="text1"/>
          <w:sz w:val="28"/>
          <w:szCs w:val="28"/>
        </w:rPr>
        <w:t xml:space="preserve"> высокой степени активности.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 xml:space="preserve">5. </w:t>
      </w:r>
      <w:proofErr w:type="spellStart"/>
      <w:r w:rsidRPr="001529F8">
        <w:rPr>
          <w:color w:val="000000" w:themeColor="text1"/>
          <w:sz w:val="28"/>
          <w:szCs w:val="28"/>
        </w:rPr>
        <w:t>Бактерионосительство</w:t>
      </w:r>
      <w:proofErr w:type="spellEnd"/>
      <w:r w:rsidRPr="001529F8">
        <w:rPr>
          <w:color w:val="000000" w:themeColor="text1"/>
          <w:sz w:val="28"/>
          <w:szCs w:val="28"/>
        </w:rPr>
        <w:t xml:space="preserve"> инфекционных заболеваний.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6. Заразные болезни глаз и кожи.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7. Паразитарные заболевания.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 xml:space="preserve">8. Заболевания, сопровождающиеся стойким болевым синдромом, требующим постоянного приема наркотических средств и психотропных веществ, включенных в </w:t>
      </w:r>
      <w:hyperlink r:id="rId5" w:anchor="/document/12112176/entry/222" w:history="1">
        <w:r w:rsidRPr="001529F8">
          <w:rPr>
            <w:rStyle w:val="a6"/>
            <w:color w:val="000000" w:themeColor="text1"/>
            <w:sz w:val="28"/>
            <w:szCs w:val="28"/>
          </w:rPr>
          <w:t>списки II</w:t>
        </w:r>
      </w:hyperlink>
      <w:r w:rsidRPr="001529F8">
        <w:rPr>
          <w:color w:val="000000" w:themeColor="text1"/>
          <w:sz w:val="28"/>
          <w:szCs w:val="28"/>
        </w:rPr>
        <w:t xml:space="preserve"> и </w:t>
      </w:r>
      <w:hyperlink r:id="rId6" w:anchor="/document/12112176/entry/333" w:history="1">
        <w:r w:rsidRPr="001529F8">
          <w:rPr>
            <w:rStyle w:val="a6"/>
            <w:color w:val="000000" w:themeColor="text1"/>
            <w:sz w:val="28"/>
            <w:szCs w:val="28"/>
          </w:rPr>
          <w:t>III</w:t>
        </w:r>
      </w:hyperlink>
      <w:r w:rsidRPr="001529F8">
        <w:rPr>
          <w:color w:val="000000" w:themeColor="text1"/>
          <w:sz w:val="28"/>
          <w:szCs w:val="28"/>
        </w:rPr>
        <w:t xml:space="preserve"> Перечня наркотических средств, психотропных веществ и их </w:t>
      </w:r>
      <w:proofErr w:type="spellStart"/>
      <w:r w:rsidRPr="001529F8">
        <w:rPr>
          <w:color w:val="000000" w:themeColor="text1"/>
          <w:sz w:val="28"/>
          <w:szCs w:val="28"/>
        </w:rPr>
        <w:t>прекурсоров</w:t>
      </w:r>
      <w:proofErr w:type="spellEnd"/>
      <w:r w:rsidRPr="001529F8">
        <w:rPr>
          <w:color w:val="000000" w:themeColor="text1"/>
          <w:sz w:val="28"/>
          <w:szCs w:val="28"/>
        </w:rPr>
        <w:t>, подлежащих контролю в Российской Федерации</w:t>
      </w:r>
      <w:r w:rsidRPr="001529F8">
        <w:rPr>
          <w:color w:val="000000" w:themeColor="text1"/>
          <w:sz w:val="28"/>
          <w:szCs w:val="28"/>
          <w:vertAlign w:val="superscript"/>
        </w:rPr>
        <w:t> </w:t>
      </w:r>
      <w:hyperlink r:id="rId7" w:anchor="/document/408807035/entry/333" w:history="1">
        <w:r w:rsidRPr="001529F8">
          <w:rPr>
            <w:rStyle w:val="a6"/>
            <w:color w:val="000000" w:themeColor="text1"/>
            <w:sz w:val="28"/>
            <w:szCs w:val="28"/>
            <w:vertAlign w:val="superscript"/>
          </w:rPr>
          <w:t>3</w:t>
        </w:r>
      </w:hyperlink>
      <w:r w:rsidRPr="001529F8">
        <w:rPr>
          <w:color w:val="000000" w:themeColor="text1"/>
          <w:sz w:val="28"/>
          <w:szCs w:val="28"/>
        </w:rPr>
        <w:t>, зарегистрированных в качестве лекарственных препаратов.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 xml:space="preserve">9. Туберкулез любой локализации в интенсивную фазу лечения при наличии </w:t>
      </w:r>
      <w:proofErr w:type="spellStart"/>
      <w:r w:rsidRPr="001529F8">
        <w:rPr>
          <w:color w:val="000000" w:themeColor="text1"/>
          <w:sz w:val="28"/>
          <w:szCs w:val="28"/>
        </w:rPr>
        <w:t>бактериовыделения</w:t>
      </w:r>
      <w:proofErr w:type="spellEnd"/>
      <w:r w:rsidRPr="001529F8">
        <w:rPr>
          <w:color w:val="000000" w:themeColor="text1"/>
          <w:sz w:val="28"/>
          <w:szCs w:val="28"/>
        </w:rPr>
        <w:t xml:space="preserve">, подтвержденного </w:t>
      </w:r>
      <w:proofErr w:type="spellStart"/>
      <w:r w:rsidRPr="001529F8">
        <w:rPr>
          <w:color w:val="000000" w:themeColor="text1"/>
          <w:sz w:val="28"/>
          <w:szCs w:val="28"/>
        </w:rPr>
        <w:t>бактериоскопическим</w:t>
      </w:r>
      <w:proofErr w:type="spellEnd"/>
      <w:r w:rsidRPr="001529F8">
        <w:rPr>
          <w:color w:val="000000" w:themeColor="text1"/>
          <w:sz w:val="28"/>
          <w:szCs w:val="28"/>
        </w:rPr>
        <w:t>, бактериологическим или молекулярно-генетическим методами;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10. Новообразования неуточненного характера (при отсутствии письменного подтверждения в медицинской документации пациента о том, что пациент (законный представитель пациента) предупрежден о возможных рисках, связанных с осложнениями заболевания в связи с санаторно-курортным лечением).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11. Злокачественные новообразования, требующие противоопухолевого лечения, в том числе проведения химиотерапии.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12. Эпилепсия с текущими приступами, в том числе резистентная к проводимому лечению.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13. Эпилепсия с ремиссией менее 6 месяцев (для санаторно-курортных организаций не психоневрологического профиля).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14. Психические расстройства и расстройства поведения в состоянии обострения или нестойкой ремиссии, в том числе представляющие опасность для пациента и окружающих.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 xml:space="preserve">15. Психические расстройства и расстройства поведения, вызванные употреблением </w:t>
      </w:r>
      <w:proofErr w:type="spellStart"/>
      <w:r w:rsidRPr="001529F8">
        <w:rPr>
          <w:color w:val="000000" w:themeColor="text1"/>
          <w:sz w:val="28"/>
          <w:szCs w:val="28"/>
        </w:rPr>
        <w:t>психоактивных</w:t>
      </w:r>
      <w:proofErr w:type="spellEnd"/>
      <w:r w:rsidRPr="001529F8">
        <w:rPr>
          <w:color w:val="000000" w:themeColor="text1"/>
          <w:sz w:val="28"/>
          <w:szCs w:val="28"/>
        </w:rPr>
        <w:t xml:space="preserve"> веществ.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t>16. Кахексия любого происхождения.</w:t>
      </w:r>
    </w:p>
    <w:p w:rsidR="001529F8" w:rsidRPr="001529F8" w:rsidRDefault="001529F8" w:rsidP="001529F8">
      <w:pPr>
        <w:pStyle w:val="s1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1529F8">
        <w:rPr>
          <w:color w:val="000000" w:themeColor="text1"/>
          <w:sz w:val="28"/>
          <w:szCs w:val="28"/>
        </w:rPr>
        <w:lastRenderedPageBreak/>
        <w:t>17. Неизлечимые прогрессирующие заболевания и состояния, требующие оказания паллиативной медицинской помощи.</w:t>
      </w:r>
    </w:p>
    <w:bookmarkEnd w:id="0"/>
    <w:p w:rsidR="00BA7C8F" w:rsidRPr="003F6C22" w:rsidRDefault="00BA7C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7C8F" w:rsidRPr="003F6C22" w:rsidSect="001529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B0D45"/>
    <w:multiLevelType w:val="multilevel"/>
    <w:tmpl w:val="210C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95A"/>
    <w:rsid w:val="001529F8"/>
    <w:rsid w:val="00176173"/>
    <w:rsid w:val="001E2989"/>
    <w:rsid w:val="00250691"/>
    <w:rsid w:val="003F6C22"/>
    <w:rsid w:val="006C48D8"/>
    <w:rsid w:val="0070338D"/>
    <w:rsid w:val="007D1E75"/>
    <w:rsid w:val="0099595A"/>
    <w:rsid w:val="00BA7C8F"/>
    <w:rsid w:val="00D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B9EFD8"/>
  <w15:docId w15:val="{DB75B0E5-95F7-4893-A6B8-BA5286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A8"/>
  </w:style>
  <w:style w:type="paragraph" w:styleId="1">
    <w:name w:val="heading 1"/>
    <w:basedOn w:val="a"/>
    <w:link w:val="10"/>
    <w:uiPriority w:val="9"/>
    <w:qFormat/>
    <w:rsid w:val="00995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595A"/>
    <w:rPr>
      <w:b/>
      <w:bCs/>
    </w:rPr>
  </w:style>
  <w:style w:type="character" w:styleId="a5">
    <w:name w:val="Emphasis"/>
    <w:basedOn w:val="a0"/>
    <w:uiPriority w:val="20"/>
    <w:qFormat/>
    <w:rsid w:val="007D1E75"/>
    <w:rPr>
      <w:i/>
      <w:iCs/>
    </w:rPr>
  </w:style>
  <w:style w:type="paragraph" w:customStyle="1" w:styleId="s1">
    <w:name w:val="s_1"/>
    <w:basedOn w:val="a"/>
    <w:rsid w:val="0015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5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2381</cp:lastModifiedBy>
  <cp:revision>7</cp:revision>
  <dcterms:created xsi:type="dcterms:W3CDTF">2026-01-20T12:49:00Z</dcterms:created>
  <dcterms:modified xsi:type="dcterms:W3CDTF">2026-01-28T07:07:00Z</dcterms:modified>
</cp:coreProperties>
</file>